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8E" w:rsidRPr="00C4317E" w:rsidRDefault="0027478E" w:rsidP="0027478E">
      <w:pPr>
        <w:tabs>
          <w:tab w:val="left" w:pos="9356"/>
        </w:tabs>
        <w:jc w:val="right"/>
        <w:rPr>
          <w:rFonts w:ascii="Tahoma" w:hAnsi="Tahoma" w:cs="Tahoma"/>
          <w:sz w:val="48"/>
          <w:szCs w:val="48"/>
        </w:rPr>
      </w:pPr>
      <w:r w:rsidRPr="00C4317E">
        <w:rPr>
          <w:rFonts w:ascii="Tahoma" w:hAnsi="Tahoma" w:cs="Tahoma"/>
          <w:b/>
          <w:sz w:val="24"/>
          <w:szCs w:val="24"/>
        </w:rPr>
        <w:t xml:space="preserve">Éves beszámolóját az </w:t>
      </w:r>
      <w:proofErr w:type="spellStart"/>
      <w:r w:rsidRPr="00C4317E">
        <w:rPr>
          <w:rFonts w:ascii="Tahoma" w:hAnsi="Tahoma" w:cs="Tahoma"/>
          <w:b/>
          <w:sz w:val="24"/>
          <w:szCs w:val="24"/>
        </w:rPr>
        <w:t>IFRS-ek</w:t>
      </w:r>
      <w:proofErr w:type="spellEnd"/>
      <w:r w:rsidRPr="00C4317E">
        <w:rPr>
          <w:rFonts w:ascii="Tahoma" w:hAnsi="Tahoma" w:cs="Tahoma"/>
          <w:b/>
          <w:sz w:val="24"/>
          <w:szCs w:val="24"/>
        </w:rPr>
        <w:t xml:space="preserve"> alapján készítő vállalkozó </w:t>
      </w:r>
      <w:proofErr w:type="gramStart"/>
      <w:r w:rsidRPr="00C4317E">
        <w:rPr>
          <w:rFonts w:ascii="Tahoma" w:hAnsi="Tahoma" w:cs="Tahoma"/>
          <w:b/>
          <w:sz w:val="24"/>
          <w:szCs w:val="24"/>
        </w:rPr>
        <w:t>részére</w:t>
      </w:r>
      <w:r w:rsidRPr="00C4317E">
        <w:rPr>
          <w:rFonts w:ascii="Tahoma" w:hAnsi="Tahoma" w:cs="Tahoma"/>
          <w:b/>
        </w:rPr>
        <w:t xml:space="preserve">                </w:t>
      </w:r>
      <w:r w:rsidRPr="00C4317E">
        <w:rPr>
          <w:rFonts w:ascii="Tahoma" w:hAnsi="Tahoma" w:cs="Tahoma"/>
          <w:b/>
          <w:sz w:val="48"/>
          <w:szCs w:val="48"/>
        </w:rPr>
        <w:t>I</w:t>
      </w:r>
      <w:proofErr w:type="gramEnd"/>
    </w:p>
    <w:p w:rsidR="0027478E" w:rsidRPr="009D52BB" w:rsidRDefault="0027478E" w:rsidP="0027478E">
      <w:pPr>
        <w:rPr>
          <w:rFonts w:ascii="Tahoma" w:hAnsi="Tahoma" w:cs="Tahoma"/>
        </w:rPr>
      </w:pPr>
    </w:p>
    <w:p w:rsidR="0027478E" w:rsidRDefault="0027478E" w:rsidP="0027478E">
      <w:pPr>
        <w:pStyle w:val="Szvegtrzs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FFFFFF"/>
        <w:jc w:val="center"/>
        <w:rPr>
          <w:rFonts w:ascii="Tahoma" w:hAnsi="Tahoma" w:cs="Tahoma"/>
        </w:rPr>
      </w:pPr>
      <w:r w:rsidRPr="009D52BB">
        <w:rPr>
          <w:rFonts w:ascii="Tahoma" w:hAnsi="Tahoma" w:cs="Tahoma"/>
        </w:rPr>
        <w:t>201</w:t>
      </w:r>
      <w:r>
        <w:rPr>
          <w:rFonts w:ascii="Tahoma" w:hAnsi="Tahoma" w:cs="Tahoma"/>
        </w:rPr>
        <w:t>7</w:t>
      </w:r>
      <w:r w:rsidRPr="009D52BB">
        <w:rPr>
          <w:rFonts w:ascii="Tahoma" w:hAnsi="Tahoma" w:cs="Tahoma"/>
        </w:rPr>
        <w:t xml:space="preserve">. adóévről </w:t>
      </w:r>
      <w:r w:rsidR="002B7488">
        <w:rPr>
          <w:rFonts w:ascii="Tahoma" w:hAnsi="Tahoma" w:cs="Tahoma"/>
        </w:rPr>
        <w:t>Jászladány nagyközség</w:t>
      </w:r>
      <w:r w:rsidRPr="009D52BB">
        <w:rPr>
          <w:rFonts w:ascii="Tahoma" w:hAnsi="Tahoma" w:cs="Tahoma"/>
        </w:rPr>
        <w:t xml:space="preserve"> önkormányzatának illetékességi területén folytatott állandó jellegű iparűzési tevékenység utáni adókötelezettségről szóló helyi iparűzési adóbevalláshoz</w:t>
      </w:r>
    </w:p>
    <w:p w:rsidR="006A314E" w:rsidRPr="006A314E" w:rsidRDefault="006A314E" w:rsidP="006A314E">
      <w:pPr>
        <w:pStyle w:val="Szvegtrzs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FFFFFF"/>
        <w:rPr>
          <w:rFonts w:ascii="Tahoma" w:hAnsi="Tahoma" w:cs="Tahoma"/>
          <w:b/>
        </w:rPr>
      </w:pPr>
      <w:r w:rsidRPr="006A314E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.</w:t>
      </w:r>
      <w:r w:rsidRPr="006A314E">
        <w:rPr>
          <w:rFonts w:ascii="Tahoma" w:hAnsi="Tahoma" w:cs="Tahoma"/>
          <w:b/>
        </w:rPr>
        <w:t xml:space="preserve"> Adóalany</w:t>
      </w:r>
    </w:p>
    <w:p w:rsidR="0027478E" w:rsidRDefault="0027478E" w:rsidP="0027478E">
      <w:pPr>
        <w:pStyle w:val="Szvegtrzs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tabs>
          <w:tab w:val="left" w:leader="underscore" w:pos="9214"/>
        </w:tabs>
        <w:spacing w:before="200" w:after="100" w:afterAutospacing="1"/>
        <w:rPr>
          <w:rFonts w:ascii="Tahoma" w:hAnsi="Tahoma" w:cs="Tahoma"/>
        </w:rPr>
      </w:pPr>
      <w:r w:rsidRPr="00382189">
        <w:rPr>
          <w:rFonts w:ascii="Tahoma" w:hAnsi="Tahoma" w:cs="Tahoma"/>
        </w:rPr>
        <w:t xml:space="preserve">Adózó </w:t>
      </w:r>
      <w:r>
        <w:rPr>
          <w:rFonts w:ascii="Tahoma" w:hAnsi="Tahoma" w:cs="Tahoma"/>
        </w:rPr>
        <w:t>neve (cégneve):</w:t>
      </w:r>
      <w:r>
        <w:rPr>
          <w:rFonts w:ascii="Tahoma" w:hAnsi="Tahoma" w:cs="Tahoma"/>
        </w:rPr>
        <w:tab/>
      </w:r>
    </w:p>
    <w:p w:rsidR="0027478E" w:rsidRPr="00D916F1" w:rsidRDefault="0027478E" w:rsidP="0027478E">
      <w:pPr>
        <w:pStyle w:val="Szvegtrzs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tabs>
          <w:tab w:val="left" w:pos="3969"/>
        </w:tabs>
        <w:spacing w:before="120"/>
        <w:rPr>
          <w:rFonts w:ascii="Tahoma" w:hAnsi="Tahoma" w:cs="Tahoma"/>
          <w:sz w:val="28"/>
          <w:szCs w:val="28"/>
        </w:rPr>
      </w:pPr>
      <w:r w:rsidRPr="00382189">
        <w:rPr>
          <w:rFonts w:ascii="Tahoma" w:hAnsi="Tahoma" w:cs="Tahoma"/>
        </w:rPr>
        <w:t>Adószáma</w:t>
      </w:r>
      <w:proofErr w:type="gramStart"/>
      <w:r w:rsidRPr="00D916F1">
        <w:rPr>
          <w:rFonts w:ascii="Tahoma" w:hAnsi="Tahoma" w:cs="Tahoma"/>
        </w:rPr>
        <w:t xml:space="preserve">:  </w:t>
      </w:r>
      <w:r w:rsidRPr="00D916F1">
        <w:rPr>
          <w:rFonts w:ascii="Tahoma" w:hAnsi="Tahoma" w:cs="Tahoma"/>
          <w:sz w:val="28"/>
          <w:szCs w:val="28"/>
        </w:rPr>
        <w:t>_  _  _  _  _  _  _  _  -</w:t>
      </w:r>
      <w:proofErr w:type="gramEnd"/>
      <w:r w:rsidRPr="00D916F1">
        <w:rPr>
          <w:rFonts w:ascii="Tahoma" w:hAnsi="Tahoma" w:cs="Tahoma"/>
          <w:sz w:val="28"/>
          <w:szCs w:val="28"/>
        </w:rPr>
        <w:t xml:space="preserve"> _  -  _  _  </w:t>
      </w:r>
    </w:p>
    <w:p w:rsidR="0027478E" w:rsidRPr="00EA76B5" w:rsidRDefault="0027478E" w:rsidP="0027478E">
      <w:pPr>
        <w:pStyle w:val="Szvegtrzs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tabs>
          <w:tab w:val="left" w:pos="3969"/>
        </w:tabs>
        <w:spacing w:before="200"/>
        <w:rPr>
          <w:rFonts w:ascii="Tahoma" w:hAnsi="Tahoma" w:cs="Tahoma"/>
          <w:sz w:val="2"/>
          <w:szCs w:val="2"/>
        </w:rPr>
      </w:pPr>
    </w:p>
    <w:tbl>
      <w:tblPr>
        <w:tblW w:w="985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947"/>
        <w:gridCol w:w="2907"/>
      </w:tblGrid>
      <w:tr w:rsidR="0027478E" w:rsidRPr="00C4317E" w:rsidTr="00950E73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78E" w:rsidRPr="00C4317E" w:rsidRDefault="0027478E" w:rsidP="00950E73">
            <w:pPr>
              <w:rPr>
                <w:sz w:val="22"/>
                <w:szCs w:val="22"/>
              </w:rPr>
            </w:pPr>
          </w:p>
          <w:tbl>
            <w:tblPr>
              <w:tblW w:w="9854" w:type="dxa"/>
              <w:tblLayout w:type="fixed"/>
              <w:tblLook w:val="04A0"/>
            </w:tblPr>
            <w:tblGrid>
              <w:gridCol w:w="6947"/>
              <w:gridCol w:w="2907"/>
            </w:tblGrid>
            <w:tr w:rsidR="0027478E" w:rsidRPr="00C4317E" w:rsidTr="00950E73">
              <w:trPr>
                <w:trHeight w:val="454"/>
              </w:trPr>
              <w:tc>
                <w:tcPr>
                  <w:tcW w:w="6947" w:type="dxa"/>
                  <w:shd w:val="clear" w:color="auto" w:fill="auto"/>
                  <w:vAlign w:val="center"/>
                </w:tcPr>
                <w:p w:rsidR="0027478E" w:rsidRPr="00C4317E" w:rsidRDefault="0027478E" w:rsidP="00950E73">
                  <w:pPr>
                    <w:ind w:left="459" w:hanging="283"/>
                    <w:contextualSpacing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27478E" w:rsidRPr="006A314E" w:rsidRDefault="0027478E" w:rsidP="006A314E">
                  <w:pPr>
                    <w:pStyle w:val="Listaszerbekezds"/>
                    <w:numPr>
                      <w:ilvl w:val="0"/>
                      <w:numId w:val="11"/>
                    </w:numPr>
                    <w:ind w:left="777" w:hanging="383"/>
                    <w:rPr>
                      <w:rFonts w:ascii="Tahoma" w:hAnsi="Tahoma" w:cs="Tahoma"/>
                      <w:b/>
                    </w:rPr>
                  </w:pPr>
                  <w:r w:rsidRPr="006A314E">
                    <w:rPr>
                      <w:rFonts w:ascii="Tahoma" w:hAnsi="Tahoma" w:cs="Tahoma"/>
                      <w:b/>
                    </w:rPr>
                    <w:t>NETTÓ ÁRBEVÉTEL</w:t>
                  </w:r>
                </w:p>
              </w:tc>
              <w:tc>
                <w:tcPr>
                  <w:tcW w:w="2907" w:type="dxa"/>
                  <w:shd w:val="clear" w:color="auto" w:fill="auto"/>
                  <w:vAlign w:val="bottom"/>
                </w:tcPr>
                <w:p w:rsidR="0027478E" w:rsidRPr="00C4317E" w:rsidRDefault="0027478E" w:rsidP="00950E73">
                  <w:pPr>
                    <w:pStyle w:val="Listaszerbekezds"/>
                    <w:spacing w:after="0" w:line="240" w:lineRule="auto"/>
                    <w:ind w:left="1201"/>
                    <w:jc w:val="center"/>
                    <w:rPr>
                      <w:rFonts w:ascii="Tahoma" w:eastAsia="Times New Roman" w:hAnsi="Tahoma" w:cs="Tahoma"/>
                      <w:i/>
                      <w:lang w:eastAsia="hu-HU"/>
                    </w:rPr>
                  </w:pPr>
                  <w:r w:rsidRPr="00C4317E">
                    <w:rPr>
                      <w:rFonts w:ascii="Tahoma" w:eastAsia="Times New Roman" w:hAnsi="Tahoma" w:cs="Tahoma"/>
                      <w:i/>
                      <w:lang w:eastAsia="hu-HU"/>
                    </w:rPr>
                    <w:t>(forintban)</w:t>
                  </w:r>
                </w:p>
              </w:tc>
            </w:tr>
          </w:tbl>
          <w:p w:rsidR="0027478E" w:rsidRPr="00C4317E" w:rsidRDefault="0027478E" w:rsidP="00950E73">
            <w:pPr>
              <w:rPr>
                <w:sz w:val="22"/>
                <w:szCs w:val="22"/>
              </w:rPr>
            </w:pPr>
          </w:p>
        </w:tc>
      </w:tr>
      <w:tr w:rsidR="0027478E" w:rsidRPr="002041DA" w:rsidTr="00950E73">
        <w:trPr>
          <w:trHeight w:val="363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78E" w:rsidRPr="004A2EC9" w:rsidRDefault="0027478E" w:rsidP="00950E73">
            <w:pPr>
              <w:ind w:left="373"/>
              <w:jc w:val="center"/>
              <w:rPr>
                <w:rFonts w:ascii="Tahoma" w:hAnsi="Tahoma" w:cs="Tahoma"/>
                <w:b/>
                <w:i/>
              </w:rPr>
            </w:pPr>
            <w:r w:rsidRPr="004A2EC9">
              <w:rPr>
                <w:rFonts w:ascii="Tahoma" w:hAnsi="Tahoma" w:cs="Tahoma"/>
                <w:b/>
                <w:i/>
              </w:rPr>
              <w:t>I</w:t>
            </w:r>
            <w:r w:rsidR="006A314E">
              <w:rPr>
                <w:rFonts w:ascii="Tahoma" w:hAnsi="Tahoma" w:cs="Tahoma"/>
                <w:b/>
                <w:i/>
              </w:rPr>
              <w:t>I</w:t>
            </w:r>
            <w:r w:rsidRPr="004A2EC9">
              <w:rPr>
                <w:rFonts w:ascii="Tahoma" w:hAnsi="Tahoma" w:cs="Tahoma"/>
                <w:b/>
                <w:i/>
              </w:rPr>
              <w:t xml:space="preserve">/1. A </w:t>
            </w:r>
            <w:proofErr w:type="spellStart"/>
            <w:r w:rsidRPr="004A2EC9">
              <w:rPr>
                <w:rFonts w:ascii="Tahoma" w:hAnsi="Tahoma" w:cs="Tahoma"/>
                <w:b/>
                <w:i/>
              </w:rPr>
              <w:t>Htv</w:t>
            </w:r>
            <w:proofErr w:type="spellEnd"/>
            <w:r w:rsidRPr="004A2EC9">
              <w:rPr>
                <w:rFonts w:ascii="Tahoma" w:hAnsi="Tahoma" w:cs="Tahoma"/>
                <w:b/>
                <w:i/>
              </w:rPr>
              <w:t>. 40/C. §</w:t>
            </w:r>
            <w:proofErr w:type="spellStart"/>
            <w:r w:rsidRPr="004A2EC9">
              <w:rPr>
                <w:rFonts w:ascii="Tahoma" w:hAnsi="Tahoma" w:cs="Tahoma"/>
                <w:b/>
                <w:i/>
              </w:rPr>
              <w:t>-a</w:t>
            </w:r>
            <w:proofErr w:type="spellEnd"/>
            <w:r w:rsidRPr="004A2EC9">
              <w:rPr>
                <w:rFonts w:ascii="Tahoma" w:hAnsi="Tahoma" w:cs="Tahoma"/>
                <w:b/>
                <w:i/>
              </w:rPr>
              <w:t xml:space="preserve"> szerinti nettó árbevétel</w:t>
            </w:r>
          </w:p>
        </w:tc>
      </w:tr>
      <w:tr w:rsidR="0027478E" w:rsidRPr="002041DA" w:rsidTr="00950E73">
        <w:trPr>
          <w:trHeight w:val="510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C4317E">
              <w:rPr>
                <w:rFonts w:ascii="Tahoma" w:hAnsi="Tahoma" w:cs="Tahoma"/>
                <w:b/>
                <w:sz w:val="18"/>
                <w:szCs w:val="18"/>
              </w:rPr>
              <w:t>Nettó árbevétel</w:t>
            </w:r>
          </w:p>
          <w:p w:rsidR="0027478E" w:rsidRPr="00C4317E" w:rsidRDefault="0027478E" w:rsidP="00950E73">
            <w:pPr>
              <w:ind w:hanging="313"/>
              <w:contextualSpacing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4317E">
              <w:rPr>
                <w:rFonts w:ascii="Tahoma" w:hAnsi="Tahoma" w:cs="Tahoma"/>
                <w:i/>
                <w:sz w:val="18"/>
                <w:szCs w:val="18"/>
              </w:rPr>
              <w:t>[2+7+8+9+10+11+12+13+14+15+16+17+18+19+20-21-22-23-24+25]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4317E">
              <w:rPr>
                <w:rFonts w:ascii="Tahoma" w:hAnsi="Tahoma" w:cs="Tahoma"/>
                <w:sz w:val="18"/>
                <w:szCs w:val="18"/>
              </w:rPr>
              <w:t xml:space="preserve">Bevétel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[</w:t>
            </w:r>
            <w:proofErr w:type="gramEnd"/>
            <w:r w:rsidRPr="00C4317E">
              <w:rPr>
                <w:rFonts w:ascii="Tahoma" w:hAnsi="Tahoma" w:cs="Tahoma"/>
                <w:i/>
                <w:sz w:val="18"/>
                <w:szCs w:val="18"/>
              </w:rPr>
              <w:t>3+4+5+6]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Áruértékesítésből, szolgáltatásnyújtásból, jogdíjból származó árbevétel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Beruházási szerződés alapján való szolgáltatás-nyújtásból származó árbevétel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Más standardok által az IAS 18 szerinti árbevételként elszámolni rendelt tételek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Megszűnt tevékenységből származó árbevétel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Bevételt nem eredményező csere keretében elcserélt áru, szolgáltatás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Sztv. szerint – nem számlázott – utólag adott (fizetendő) szerződés szerinti engedmény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31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IAS 18 standard 11. bekezdés alapján bevételt csökkentő kamat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IAS 11 standard alapján a bevételt csökkentő kötbér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right="-27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Pr="00C4317E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4317E">
              <w:rPr>
                <w:rFonts w:ascii="Tahoma" w:hAnsi="Tahoma" w:cs="Tahoma"/>
                <w:sz w:val="18"/>
                <w:szCs w:val="18"/>
              </w:rPr>
              <w:t>. 52. § 40. pontja szerinti közvetített szolgáltatásnak megfelelő ügylet keretében közvetített szolgáltatás bekerülési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ind w:left="63"/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Saját név alatt történt bizományosi áru-értékesítés számviteli törvény szerinti bekerülési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Bevételt keletkeztető ügyletekhez kapcsolódó fedezeti ügylet bevétel-csökkentő hatása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Nem a szokásos tevékenység keretében keletkezett áruértékesítés, szolgáltatásnyújtás árbevétele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Üzletág-átruházás esetén az átadott eszközök kötelezettségekkel csökkentett értékét meghaladó ellenérték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Operatív lízingből származó árbevétel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Ásványi ércek kitermeléséből származó 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Del="00FA4A39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IFRS 4. Biztosítási szerződések c. standard szerint biztosítóként a biztosítási szerződésből kapott 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Pr="00C4317E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4317E">
              <w:rPr>
                <w:rFonts w:ascii="Tahoma" w:hAnsi="Tahoma" w:cs="Tahoma"/>
                <w:sz w:val="18"/>
                <w:szCs w:val="18"/>
              </w:rPr>
              <w:t xml:space="preserve">. 40/C. § (2) bekezdés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m)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pontja szerinti korrekció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Jogdíjbevétel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Felszolgálási díj árbevétele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lastRenderedPageBreak/>
              <w:t>Az adóhatósággal elszámolt jövedéki adó, regisztrációs adó, energiaadó, az alkoholos italt terhelő népegészségügyi termékadó összege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1"/>
                <w:numId w:val="10"/>
              </w:numPr>
              <w:tabs>
                <w:tab w:val="left" w:pos="1238"/>
              </w:tabs>
              <w:ind w:left="1238" w:hanging="686"/>
              <w:contextualSpacing/>
              <w:rPr>
                <w:rFonts w:ascii="Tahoma" w:hAnsi="Tahoma" w:cs="Tahoma"/>
                <w:i/>
                <w:sz w:val="18"/>
                <w:szCs w:val="18"/>
              </w:rPr>
            </w:pPr>
            <w:r w:rsidRPr="00C4317E">
              <w:rPr>
                <w:rFonts w:ascii="Tahoma" w:hAnsi="Tahoma" w:cs="Tahoma"/>
                <w:i/>
                <w:sz w:val="18"/>
                <w:szCs w:val="18"/>
              </w:rPr>
              <w:t>jövedéki adó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1"/>
                <w:numId w:val="10"/>
              </w:numPr>
              <w:tabs>
                <w:tab w:val="left" w:pos="1148"/>
              </w:tabs>
              <w:ind w:left="885" w:hanging="360"/>
              <w:contextualSpacing/>
              <w:rPr>
                <w:rFonts w:ascii="Tahoma" w:hAnsi="Tahoma" w:cs="Tahoma"/>
                <w:i/>
                <w:sz w:val="18"/>
                <w:szCs w:val="18"/>
              </w:rPr>
            </w:pPr>
            <w:r w:rsidRPr="00C4317E">
              <w:rPr>
                <w:rFonts w:ascii="Tahoma" w:hAnsi="Tahoma" w:cs="Tahoma"/>
                <w:i/>
                <w:sz w:val="18"/>
                <w:szCs w:val="18"/>
              </w:rPr>
              <w:t xml:space="preserve"> regisztrációs adó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1"/>
                <w:numId w:val="10"/>
              </w:numPr>
              <w:tabs>
                <w:tab w:val="left" w:pos="1134"/>
              </w:tabs>
              <w:ind w:left="885" w:hanging="360"/>
              <w:contextualSpacing/>
              <w:rPr>
                <w:rFonts w:ascii="Tahoma" w:hAnsi="Tahoma" w:cs="Tahoma"/>
                <w:i/>
                <w:sz w:val="18"/>
                <w:szCs w:val="18"/>
              </w:rPr>
            </w:pPr>
            <w:r w:rsidRPr="00C4317E">
              <w:rPr>
                <w:rFonts w:ascii="Tahoma" w:hAnsi="Tahoma" w:cs="Tahoma"/>
                <w:i/>
                <w:sz w:val="18"/>
                <w:szCs w:val="18"/>
              </w:rPr>
              <w:t xml:space="preserve"> energiaadó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1"/>
                <w:numId w:val="10"/>
              </w:numPr>
              <w:tabs>
                <w:tab w:val="left" w:pos="1148"/>
              </w:tabs>
              <w:ind w:left="885" w:hanging="360"/>
              <w:contextualSpacing/>
              <w:rPr>
                <w:rFonts w:ascii="Tahoma" w:hAnsi="Tahoma" w:cs="Tahoma"/>
                <w:i/>
                <w:sz w:val="18"/>
                <w:szCs w:val="18"/>
              </w:rPr>
            </w:pPr>
            <w:r w:rsidRPr="00C4317E">
              <w:rPr>
                <w:rFonts w:ascii="Tahoma" w:hAnsi="Tahoma" w:cs="Tahoma"/>
                <w:i/>
                <w:sz w:val="18"/>
                <w:szCs w:val="18"/>
              </w:rPr>
              <w:t xml:space="preserve"> az alkoholos italt terhelő népegészségügyi termékadó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Bevetélt keletkeztető ügyletekhez kapcsolódó fedezeti ügylet bevételnövelő hatása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IFRS 11 szerinti közös megállapodás alapján végzett tevékenység nettó árbevétele (+,-)</w:t>
            </w:r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98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78E" w:rsidRPr="00C4317E" w:rsidRDefault="0027478E" w:rsidP="00950E73">
            <w:pPr>
              <w:spacing w:before="360"/>
              <w:ind w:left="453" w:hanging="357"/>
              <w:jc w:val="center"/>
              <w:rPr>
                <w:rFonts w:ascii="Tahoma" w:hAnsi="Tahoma" w:cs="Tahoma"/>
                <w:b/>
              </w:rPr>
            </w:pPr>
            <w:r w:rsidRPr="00C4317E">
              <w:rPr>
                <w:rFonts w:ascii="Tahoma" w:hAnsi="Tahoma" w:cs="Tahoma"/>
                <w:b/>
                <w:i/>
              </w:rPr>
              <w:t>I</w:t>
            </w:r>
            <w:r w:rsidR="006A314E">
              <w:rPr>
                <w:rFonts w:ascii="Tahoma" w:hAnsi="Tahoma" w:cs="Tahoma"/>
                <w:b/>
                <w:i/>
              </w:rPr>
              <w:t>I</w:t>
            </w:r>
            <w:r w:rsidRPr="00C4317E">
              <w:rPr>
                <w:rFonts w:ascii="Tahoma" w:hAnsi="Tahoma" w:cs="Tahoma"/>
                <w:b/>
                <w:i/>
              </w:rPr>
              <w:t xml:space="preserve">/2. A </w:t>
            </w:r>
            <w:proofErr w:type="spellStart"/>
            <w:r w:rsidRPr="00C4317E">
              <w:rPr>
                <w:rFonts w:ascii="Tahoma" w:hAnsi="Tahoma" w:cs="Tahoma"/>
                <w:b/>
                <w:i/>
              </w:rPr>
              <w:t>Htv</w:t>
            </w:r>
            <w:proofErr w:type="spellEnd"/>
            <w:r w:rsidRPr="00C4317E">
              <w:rPr>
                <w:rFonts w:ascii="Tahoma" w:hAnsi="Tahoma" w:cs="Tahoma"/>
                <w:b/>
                <w:i/>
              </w:rPr>
              <w:t>. 40/D. §</w:t>
            </w:r>
            <w:proofErr w:type="spellStart"/>
            <w:r w:rsidRPr="00C4317E">
              <w:rPr>
                <w:rFonts w:ascii="Tahoma" w:hAnsi="Tahoma" w:cs="Tahoma"/>
                <w:b/>
                <w:i/>
              </w:rPr>
              <w:t>-a</w:t>
            </w:r>
            <w:proofErr w:type="spellEnd"/>
            <w:r w:rsidRPr="00C4317E">
              <w:rPr>
                <w:rFonts w:ascii="Tahoma" w:hAnsi="Tahoma" w:cs="Tahoma"/>
                <w:b/>
                <w:i/>
              </w:rPr>
              <w:t xml:space="preserve"> szerinti nettó árbevétel</w:t>
            </w:r>
          </w:p>
        </w:tc>
      </w:tr>
      <w:tr w:rsidR="0027478E" w:rsidRPr="002041DA" w:rsidTr="00950E73">
        <w:trPr>
          <w:trHeight w:val="510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b/>
                <w:sz w:val="18"/>
                <w:szCs w:val="18"/>
              </w:rPr>
              <w:t xml:space="preserve">Nettó </w:t>
            </w:r>
            <w:proofErr w:type="gramStart"/>
            <w:r w:rsidRPr="00C4317E">
              <w:rPr>
                <w:rFonts w:ascii="Tahoma" w:hAnsi="Tahoma" w:cs="Tahoma"/>
                <w:b/>
                <w:sz w:val="18"/>
                <w:szCs w:val="18"/>
              </w:rPr>
              <w:t>árbevétel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[</w:t>
            </w:r>
            <w:proofErr w:type="gramEnd"/>
            <w:r w:rsidRPr="00C4317E">
              <w:rPr>
                <w:rFonts w:ascii="Tahoma" w:hAnsi="Tahoma" w:cs="Tahoma"/>
                <w:i/>
                <w:sz w:val="18"/>
                <w:szCs w:val="18"/>
              </w:rPr>
              <w:t>2+3+4+5+6+7+8-9-10-11+12+13]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Kapott kamatok és kamatjellegű bevételek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A kamatbevétel csökkentéseként az üzleti évben elszámolt fizetett, </w:t>
            </w:r>
            <w:r>
              <w:rPr>
                <w:rFonts w:ascii="Tahoma" w:hAnsi="Tahoma" w:cs="Tahoma"/>
                <w:sz w:val="18"/>
                <w:szCs w:val="18"/>
              </w:rPr>
              <w:t>fizetendő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díjak, jutalékok összegével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 nyújtott szolgáltatások után az IAS 18 szerint elszámolt 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IAS 32 szerinti pénzügyi instrumentum értékesítésével elért nyereség, nyereségjellegű különbözet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összege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Operatív lízingből származó árbevétel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 nem a szokásos tevékenység keretében keletkezett áruértékesítésből, szolgáltatásnyújtásból származó 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tabs>
                <w:tab w:val="left" w:pos="154"/>
              </w:tabs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adóalany által ráfordításként elszámolt kamat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Pénzügyi lízingbe adott, kereskedelmi árunak nem minősülő eszköz könyv szerinti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 saját követelés értékesítéséből keletkezett, az üzleti évben elszámolt nyereség összege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IFRS 11 szerinti közös megállapodás alapján végzett tevékenység nettó árbevétele (+,-)</w:t>
            </w:r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Megszűnt tevékenységből származó árbevétel </w:t>
            </w:r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78E" w:rsidRPr="00C4317E" w:rsidRDefault="0027478E" w:rsidP="00950E73">
            <w:pPr>
              <w:spacing w:before="360"/>
              <w:ind w:left="460" w:hanging="284"/>
              <w:jc w:val="center"/>
              <w:rPr>
                <w:rFonts w:ascii="Tahoma" w:hAnsi="Tahoma" w:cs="Tahoma"/>
                <w:b/>
                <w:i/>
              </w:rPr>
            </w:pPr>
            <w:r w:rsidRPr="00C4317E">
              <w:rPr>
                <w:rFonts w:ascii="Tahoma" w:hAnsi="Tahoma" w:cs="Tahoma"/>
                <w:b/>
                <w:i/>
              </w:rPr>
              <w:t>I</w:t>
            </w:r>
            <w:r w:rsidR="006A314E">
              <w:rPr>
                <w:rFonts w:ascii="Tahoma" w:hAnsi="Tahoma" w:cs="Tahoma"/>
                <w:b/>
                <w:i/>
              </w:rPr>
              <w:t>I</w:t>
            </w:r>
            <w:r w:rsidRPr="00C4317E">
              <w:rPr>
                <w:rFonts w:ascii="Tahoma" w:hAnsi="Tahoma" w:cs="Tahoma"/>
                <w:b/>
                <w:i/>
              </w:rPr>
              <w:t xml:space="preserve">/3. A </w:t>
            </w:r>
            <w:proofErr w:type="spellStart"/>
            <w:r w:rsidRPr="00C4317E">
              <w:rPr>
                <w:rFonts w:ascii="Tahoma" w:hAnsi="Tahoma" w:cs="Tahoma"/>
                <w:b/>
                <w:i/>
              </w:rPr>
              <w:t>Htv</w:t>
            </w:r>
            <w:proofErr w:type="spellEnd"/>
            <w:r w:rsidRPr="00C4317E">
              <w:rPr>
                <w:rFonts w:ascii="Tahoma" w:hAnsi="Tahoma" w:cs="Tahoma"/>
                <w:b/>
                <w:i/>
              </w:rPr>
              <w:t>. 40/E. §</w:t>
            </w:r>
            <w:proofErr w:type="spellStart"/>
            <w:r w:rsidRPr="00C4317E">
              <w:rPr>
                <w:rFonts w:ascii="Tahoma" w:hAnsi="Tahoma" w:cs="Tahoma"/>
                <w:b/>
                <w:i/>
              </w:rPr>
              <w:t>-a</w:t>
            </w:r>
            <w:proofErr w:type="spellEnd"/>
            <w:r w:rsidRPr="00C4317E">
              <w:rPr>
                <w:rFonts w:ascii="Tahoma" w:hAnsi="Tahoma" w:cs="Tahoma"/>
                <w:b/>
                <w:i/>
              </w:rPr>
              <w:t xml:space="preserve"> szerinti nettó árbevétel</w:t>
            </w:r>
          </w:p>
        </w:tc>
      </w:tr>
      <w:tr w:rsidR="0027478E" w:rsidRPr="002041DA" w:rsidTr="00950E73">
        <w:trPr>
          <w:trHeight w:val="510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17E">
              <w:rPr>
                <w:rFonts w:ascii="Tahoma" w:hAnsi="Tahoma" w:cs="Tahoma"/>
                <w:b/>
                <w:sz w:val="18"/>
                <w:szCs w:val="18"/>
              </w:rPr>
              <w:t xml:space="preserve">Nettó </w:t>
            </w:r>
            <w:proofErr w:type="gramStart"/>
            <w:r w:rsidRPr="00C4317E">
              <w:rPr>
                <w:rFonts w:ascii="Tahoma" w:hAnsi="Tahoma" w:cs="Tahoma"/>
                <w:b/>
                <w:sz w:val="18"/>
                <w:szCs w:val="18"/>
              </w:rPr>
              <w:t>árbevétel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     [</w:t>
            </w:r>
            <w:proofErr w:type="gramEnd"/>
            <w:r w:rsidRPr="00C4317E">
              <w:rPr>
                <w:rFonts w:ascii="Tahoma" w:hAnsi="Tahoma" w:cs="Tahoma"/>
                <w:sz w:val="18"/>
                <w:szCs w:val="18"/>
              </w:rPr>
              <w:t>2+3+4+5+6+7+8+9-10-11-12-13+14+15]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Kapott kamatok és kamatjellegű bevételek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A kamatbevétel csökkentéseként az üzleti évben elszámolt fizetett, </w:t>
            </w:r>
            <w:r>
              <w:rPr>
                <w:rFonts w:ascii="Tahoma" w:hAnsi="Tahoma" w:cs="Tahoma"/>
                <w:sz w:val="18"/>
                <w:szCs w:val="18"/>
              </w:rPr>
              <w:t>fizetendő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díjak, jutalékok összegével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 nyújtott szolgáltatások után az IAS 18 szerint elszámolt 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IAS 32 szerinti pénzügyi instrumentum értékesítésével elért nyereség, nyereségjellegű különbözet összege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Operatív lízingből származó árbevétel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 nem a szokásos tevékenység keretében keletkezett áruértékesítésből, szolgáltatásnyújtásból származó 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341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lastRenderedPageBreak/>
              <w:t>Díjbevétel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 saját követelés értékesítéséből keletkezett, az üzleti évben elszámolt nyereség összege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adóalany által ráfordításként elszámolt kamat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Pénzügyi lízingbe adott, kereskedelmi árunak nem minősülő eszköz könyv szerinti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3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 biztosítási szerződés szerinti szolgáltatások teljesítése során elszámolt ráfordítás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Az IFRS 11 szerinti közös megállapodás alapján végzett tevékenység nettó árbevétele (+,-)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4"/>
              </w:numPr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>Megszűnt tevékenységből származó árbevétel</w:t>
            </w:r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C4317E" w:rsidTr="00950E73">
        <w:trPr>
          <w:trHeight w:val="397"/>
        </w:trPr>
        <w:tc>
          <w:tcPr>
            <w:tcW w:w="69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78E" w:rsidRPr="006A314E" w:rsidRDefault="0027478E" w:rsidP="006A314E">
            <w:pPr>
              <w:pStyle w:val="Listaszerbekezds"/>
              <w:numPr>
                <w:ilvl w:val="0"/>
                <w:numId w:val="11"/>
              </w:numPr>
              <w:spacing w:before="560"/>
              <w:ind w:left="885" w:hanging="491"/>
              <w:rPr>
                <w:rFonts w:ascii="Tahoma" w:hAnsi="Tahoma" w:cs="Tahoma"/>
                <w:b/>
              </w:rPr>
            </w:pPr>
            <w:r w:rsidRPr="006A314E">
              <w:rPr>
                <w:rFonts w:ascii="Tahoma" w:hAnsi="Tahoma" w:cs="Tahoma"/>
                <w:b/>
              </w:rPr>
              <w:t xml:space="preserve">Eladott áruk beszerzési értéke </w:t>
            </w:r>
          </w:p>
        </w:tc>
        <w:tc>
          <w:tcPr>
            <w:tcW w:w="29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478E" w:rsidRPr="00C4317E" w:rsidRDefault="0027478E" w:rsidP="00950E73">
            <w:pPr>
              <w:pStyle w:val="Listaszerbekezds"/>
              <w:spacing w:after="0" w:line="240" w:lineRule="auto"/>
              <w:ind w:left="754"/>
              <w:jc w:val="right"/>
              <w:rPr>
                <w:rFonts w:ascii="Tahoma" w:eastAsia="Times New Roman" w:hAnsi="Tahoma" w:cs="Tahoma"/>
                <w:i/>
                <w:lang w:eastAsia="hu-HU"/>
              </w:rPr>
            </w:pPr>
            <w:r w:rsidRPr="00C4317E">
              <w:rPr>
                <w:rFonts w:ascii="Tahoma" w:eastAsia="Times New Roman" w:hAnsi="Tahoma" w:cs="Tahoma"/>
                <w:i/>
                <w:lang w:eastAsia="hu-HU"/>
              </w:rPr>
              <w:t>(forintban)</w:t>
            </w:r>
          </w:p>
        </w:tc>
      </w:tr>
      <w:tr w:rsidR="0027478E" w:rsidRPr="002041DA" w:rsidTr="00950E73">
        <w:trPr>
          <w:trHeight w:val="510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Eladott áruk beszerzési </w:t>
            </w:r>
            <w:proofErr w:type="gramStart"/>
            <w:r w:rsidRPr="00C4317E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értéke</w:t>
            </w: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         </w:t>
            </w:r>
            <w:r w:rsidRPr="00C4317E">
              <w:rPr>
                <w:rFonts w:ascii="Tahoma" w:eastAsia="Times New Roman" w:hAnsi="Tahoma" w:cs="Tahoma"/>
                <w:i/>
                <w:sz w:val="18"/>
                <w:szCs w:val="18"/>
                <w:lang w:eastAsia="hu-HU"/>
              </w:rPr>
              <w:t xml:space="preserve"> [</w:t>
            </w:r>
            <w:proofErr w:type="gramEnd"/>
            <w:r w:rsidRPr="00C4317E">
              <w:rPr>
                <w:rFonts w:ascii="Tahoma" w:eastAsia="Times New Roman" w:hAnsi="Tahoma" w:cs="Tahoma"/>
                <w:i/>
                <w:sz w:val="18"/>
                <w:szCs w:val="18"/>
                <w:lang w:eastAsia="hu-HU"/>
              </w:rPr>
              <w:t>2+3+4+5+6+7+8-9-10+11+12]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Kereskedelmi áruk értékesítéskor nyilvántartott könyv szerinti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 kereskedelmi áru beszerzési költségének meghatározása során figyelembe vett, a számvitelről szóló törvény szerinti – nem számlázott – utólag kapott (járó) engedmény szerződés szerinti összege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Htv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 40/C. § (2) bekezdés a) pontjában említett csere esetén a cserébe kapott készlet csereszerződés szerinti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Pénzügyi lízingbe adott, kereskedelmi árunak nem minősülő eszköz pénzügyi lízingbe adáskor meglévő könyv szerinti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Htv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 40/C. § (2) bekezdés e) pontja alapján az értékesített termék (ingó, ingatlan) számvitelről szóló törvény szerint megállapítandó bekerülési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8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Nem a szokásos tevékenység keretében értékesített kereskedelmi áru, telek vagy más ingatlan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értékesítéskori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könyv szerinti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 kereskedelmi áru beszerzésével összefüggő fedezeti ügylet esetén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az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összeg, amellyel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IFRS-ek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szerint az áru beszerzési értékét csökkenteni kell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313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Az adóévet megelőző </w:t>
            </w:r>
            <w:proofErr w:type="gram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adóév(</w:t>
            </w:r>
            <w:proofErr w:type="spellStart"/>
            <w:proofErr w:type="gram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ek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)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ben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a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Htv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. 40/F. § (2) bekezdés d) pontja szerint a könyv szerinti érték növeléseként már figyelembe vett összeg, ha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IFRS-ek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alkalmazásából az következik, hogy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az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adóévben az (1) és (2) bekezdés szerint a könyv szerinti érték összegét növeli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 kereskedelmi áru beszerzésével összefüggő fedezeti ügylet esetén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az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összeg, amellyel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IFRS-ek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szerint az áru beszerzési értékét növelni kell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Az IFRS 11 szerinti közös megállapodás alapján végzett tevékenység nettó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elábé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(+,-)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459" w:hanging="425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Megszűnt tevékenységből származó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elábé</w:t>
            </w:r>
            <w:proofErr w:type="spellEnd"/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CB3F66" w:rsidTr="00950E73">
        <w:trPr>
          <w:trHeight w:val="397"/>
        </w:trPr>
        <w:tc>
          <w:tcPr>
            <w:tcW w:w="69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78E" w:rsidRPr="00CB3F66" w:rsidRDefault="0027478E" w:rsidP="006A314E">
            <w:pPr>
              <w:pStyle w:val="Listaszerbekezds"/>
              <w:numPr>
                <w:ilvl w:val="0"/>
                <w:numId w:val="11"/>
              </w:numPr>
              <w:spacing w:before="560" w:after="0" w:line="240" w:lineRule="auto"/>
              <w:ind w:left="460" w:hanging="142"/>
              <w:rPr>
                <w:rFonts w:ascii="Tahoma" w:eastAsia="Times New Roman" w:hAnsi="Tahoma" w:cs="Tahoma"/>
                <w:b/>
                <w:lang w:eastAsia="hu-HU"/>
              </w:rPr>
            </w:pPr>
            <w:r w:rsidRPr="00CB3F66">
              <w:rPr>
                <w:rFonts w:ascii="Tahoma" w:eastAsia="Times New Roman" w:hAnsi="Tahoma" w:cs="Tahoma"/>
                <w:b/>
                <w:lang w:eastAsia="hu-HU"/>
              </w:rPr>
              <w:t>Anyagköltség</w:t>
            </w:r>
          </w:p>
        </w:tc>
        <w:tc>
          <w:tcPr>
            <w:tcW w:w="29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478E" w:rsidRPr="00CB3F66" w:rsidRDefault="0027478E" w:rsidP="00950E73">
            <w:pPr>
              <w:pStyle w:val="Listaszerbekezds"/>
              <w:spacing w:after="0" w:line="240" w:lineRule="auto"/>
              <w:ind w:left="754"/>
              <w:jc w:val="right"/>
              <w:rPr>
                <w:rFonts w:ascii="Tahoma" w:eastAsia="Times New Roman" w:hAnsi="Tahoma" w:cs="Tahoma"/>
                <w:i/>
                <w:lang w:eastAsia="hu-HU"/>
              </w:rPr>
            </w:pPr>
            <w:r w:rsidRPr="00CB3F66">
              <w:rPr>
                <w:rFonts w:ascii="Tahoma" w:eastAsia="Times New Roman" w:hAnsi="Tahoma" w:cs="Tahoma"/>
                <w:i/>
                <w:lang w:eastAsia="hu-HU"/>
              </w:rPr>
              <w:t>(forintban)</w:t>
            </w: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Az anyag üzleti évben ráfordításként elszámolt felhasználáskori könyv szerinti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Anyagbeszerzéssel összefüggő fedezeti ügylet esetén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az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összeg, amellyel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IFRS-ek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szerint az anyag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besz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 értékét csökkenteni kell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fel</w:t>
            </w:r>
            <w:proofErr w:type="gram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és amelynek könyv szerinti értékét a saját előállítású ingatlanok, gépek, berendezések bekerülési értékében figyelembe vették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lastRenderedPageBreak/>
              <w:t xml:space="preserve">Anyagbeszerzéssel összefüggő fedezeti ügylet esetén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az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összeg, amellyel 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IFRS-ek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szerint az anyag bekerülési értékét (a kezdeti megjelenítéskor) növelni kell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510"/>
        </w:trPr>
        <w:tc>
          <w:tcPr>
            <w:tcW w:w="6947" w:type="dxa"/>
            <w:shd w:val="clear" w:color="auto" w:fill="auto"/>
            <w:vAlign w:val="center"/>
          </w:tcPr>
          <w:p w:rsidR="0027478E" w:rsidRPr="003A5785" w:rsidRDefault="0027478E" w:rsidP="00274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proofErr w:type="gramStart"/>
            <w:r w:rsidRPr="003A5785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Anyagköltség                                                               [</w:t>
            </w:r>
            <w:proofErr w:type="gramEnd"/>
            <w:r w:rsidRPr="003A5785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1+2+3-4-5+7+8]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3A5785" w:rsidRDefault="0027478E" w:rsidP="00950E73">
            <w:pPr>
              <w:jc w:val="center"/>
              <w:rPr>
                <w:rFonts w:ascii="Tahoma" w:hAnsi="Tahoma" w:cs="Tahoma"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Az IFRS 11 szerinti közös megállapodás alapján végzett tevékenység anyagköltsége (+,-)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Megszűnt tevékenységhez kapcsolódó anyagköltség</w:t>
            </w:r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CB3F66" w:rsidTr="00950E73">
        <w:trPr>
          <w:trHeight w:val="397"/>
        </w:trPr>
        <w:tc>
          <w:tcPr>
            <w:tcW w:w="69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78E" w:rsidRPr="00CB3F66" w:rsidRDefault="0027478E" w:rsidP="006A314E">
            <w:pPr>
              <w:pStyle w:val="Listaszerbekezds"/>
              <w:numPr>
                <w:ilvl w:val="0"/>
                <w:numId w:val="11"/>
              </w:numPr>
              <w:spacing w:before="360" w:after="0" w:line="240" w:lineRule="auto"/>
              <w:ind w:left="460" w:hanging="142"/>
              <w:rPr>
                <w:rFonts w:ascii="Tahoma" w:eastAsia="Times New Roman" w:hAnsi="Tahoma" w:cs="Tahoma"/>
                <w:b/>
                <w:lang w:eastAsia="hu-HU"/>
              </w:rPr>
            </w:pPr>
            <w:r w:rsidRPr="00CB3F66">
              <w:rPr>
                <w:rFonts w:ascii="Tahoma" w:eastAsia="Times New Roman" w:hAnsi="Tahoma" w:cs="Tahoma"/>
                <w:b/>
                <w:lang w:eastAsia="hu-HU"/>
              </w:rPr>
              <w:t>Közvetített szolgáltatások értéke</w:t>
            </w:r>
          </w:p>
        </w:tc>
        <w:tc>
          <w:tcPr>
            <w:tcW w:w="29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478E" w:rsidRPr="00CB3F66" w:rsidRDefault="0027478E" w:rsidP="00950E73">
            <w:pPr>
              <w:pStyle w:val="Listaszerbekezds"/>
              <w:spacing w:after="0" w:line="240" w:lineRule="auto"/>
              <w:ind w:left="754"/>
              <w:jc w:val="right"/>
              <w:rPr>
                <w:rFonts w:ascii="Tahoma" w:eastAsia="Times New Roman" w:hAnsi="Tahoma" w:cs="Tahoma"/>
                <w:i/>
                <w:lang w:eastAsia="hu-HU"/>
              </w:rPr>
            </w:pPr>
            <w:r w:rsidRPr="00CB3F66">
              <w:rPr>
                <w:rFonts w:ascii="Tahoma" w:eastAsia="Times New Roman" w:hAnsi="Tahoma" w:cs="Tahoma"/>
                <w:i/>
                <w:lang w:eastAsia="hu-HU"/>
              </w:rPr>
              <w:t>(forintban)</w:t>
            </w: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Az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IFRS-ek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 szerint nem ügynökként közvetített szolgáltatások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Htv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 40/C. § (2) bekezdés e) pontja alapján bevételnövelő tételként figyelembe vett szolgáltatásnyújtás esetén a közvetített szolgáltatás könyv szerinti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510"/>
        </w:trPr>
        <w:tc>
          <w:tcPr>
            <w:tcW w:w="6947" w:type="dxa"/>
            <w:shd w:val="clear" w:color="auto" w:fill="auto"/>
            <w:vAlign w:val="center"/>
          </w:tcPr>
          <w:p w:rsidR="0027478E" w:rsidRPr="003A5785" w:rsidRDefault="0027478E" w:rsidP="0027478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3A5785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Közvetített szolgáltatások </w:t>
            </w:r>
            <w:proofErr w:type="gramStart"/>
            <w:r w:rsidRPr="003A5785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értéke                                         [</w:t>
            </w:r>
            <w:proofErr w:type="gramEnd"/>
            <w:r w:rsidRPr="003A5785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1+2+4+5]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Az IFRS 11 szerinti közös megállapodás alapján végzett tevékenység keretében közvetített </w:t>
            </w:r>
            <w:proofErr w:type="spellStart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szolg</w:t>
            </w:r>
            <w:proofErr w:type="spellEnd"/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. értéke (+,-)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 xml:space="preserve">Megszűnt tevékenység során közvetített szolgáltatás értéke </w:t>
            </w:r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CB3F66" w:rsidTr="00950E73">
        <w:trPr>
          <w:trHeight w:val="397"/>
        </w:trPr>
        <w:tc>
          <w:tcPr>
            <w:tcW w:w="6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478E" w:rsidRPr="00CB3F66" w:rsidRDefault="0027478E" w:rsidP="006A314E">
            <w:pPr>
              <w:pStyle w:val="Listaszerbekezds"/>
              <w:numPr>
                <w:ilvl w:val="0"/>
                <w:numId w:val="11"/>
              </w:numPr>
              <w:spacing w:before="360" w:after="0" w:line="240" w:lineRule="auto"/>
              <w:ind w:left="460" w:hanging="272"/>
              <w:rPr>
                <w:rFonts w:ascii="Tahoma" w:eastAsia="Times New Roman" w:hAnsi="Tahoma" w:cs="Tahoma"/>
                <w:b/>
                <w:lang w:eastAsia="hu-HU"/>
              </w:rPr>
            </w:pPr>
            <w:r w:rsidRPr="00CB3F66">
              <w:rPr>
                <w:rFonts w:ascii="Tahoma" w:eastAsia="Times New Roman" w:hAnsi="Tahoma" w:cs="Tahoma"/>
                <w:b/>
                <w:lang w:eastAsia="hu-HU"/>
              </w:rPr>
              <w:t xml:space="preserve">Alvállalkozói teljesítés értéke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478E" w:rsidRPr="00CB3F66" w:rsidRDefault="0027478E" w:rsidP="00950E73">
            <w:pPr>
              <w:pStyle w:val="Listaszerbekezds"/>
              <w:spacing w:after="0" w:line="240" w:lineRule="auto"/>
              <w:ind w:left="754"/>
              <w:jc w:val="right"/>
              <w:rPr>
                <w:rFonts w:ascii="Tahoma" w:eastAsia="Times New Roman" w:hAnsi="Tahoma" w:cs="Tahoma"/>
                <w:i/>
                <w:lang w:eastAsia="hu-HU"/>
              </w:rPr>
            </w:pPr>
            <w:r w:rsidRPr="00CB3F66">
              <w:rPr>
                <w:rFonts w:ascii="Tahoma" w:eastAsia="Times New Roman" w:hAnsi="Tahoma" w:cs="Tahoma"/>
                <w:i/>
                <w:lang w:eastAsia="hu-HU"/>
              </w:rPr>
              <w:t>(forintban)</w:t>
            </w: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Folytatódó tevékenység során alvállalkozói teljesítés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sz w:val="18"/>
                <w:szCs w:val="18"/>
                <w:lang w:eastAsia="hu-HU"/>
              </w:rPr>
              <w:t>Megszűnt tevékenység során alvállalkozói teljesítés értéke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510"/>
        </w:trPr>
        <w:tc>
          <w:tcPr>
            <w:tcW w:w="69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C4317E" w:rsidRDefault="0027478E" w:rsidP="0027478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</w:pPr>
            <w:r w:rsidRPr="00C4317E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Alvállalkozói teljesítés </w:t>
            </w:r>
            <w:proofErr w:type="gramStart"/>
            <w:r w:rsidRPr="00C4317E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értéke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                                                 </w:t>
            </w:r>
            <w:r w:rsidRPr="003A5785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 xml:space="preserve">        [</w:t>
            </w:r>
            <w:proofErr w:type="gramEnd"/>
            <w:r w:rsidRPr="003A5785">
              <w:rPr>
                <w:rFonts w:ascii="Tahoma" w:eastAsia="Times New Roman" w:hAnsi="Tahoma" w:cs="Tahoma"/>
                <w:b/>
                <w:sz w:val="18"/>
                <w:szCs w:val="18"/>
                <w:lang w:eastAsia="hu-HU"/>
              </w:rPr>
              <w:t>1+2]</w:t>
            </w:r>
          </w:p>
        </w:tc>
        <w:tc>
          <w:tcPr>
            <w:tcW w:w="29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CD4EAB" w:rsidTr="00950E73">
        <w:trPr>
          <w:trHeight w:val="397"/>
        </w:trPr>
        <w:tc>
          <w:tcPr>
            <w:tcW w:w="6947" w:type="dxa"/>
            <w:tcBorders>
              <w:left w:val="nil"/>
              <w:right w:val="nil"/>
            </w:tcBorders>
            <w:shd w:val="clear" w:color="auto" w:fill="auto"/>
          </w:tcPr>
          <w:p w:rsidR="0027478E" w:rsidRPr="00CB3F66" w:rsidRDefault="0027478E" w:rsidP="006A314E">
            <w:pPr>
              <w:pStyle w:val="Listaszerbekezds"/>
              <w:numPr>
                <w:ilvl w:val="0"/>
                <w:numId w:val="11"/>
              </w:numPr>
              <w:tabs>
                <w:tab w:val="left" w:pos="829"/>
                <w:tab w:val="left" w:pos="1114"/>
              </w:tabs>
              <w:spacing w:before="360" w:after="0" w:line="240" w:lineRule="auto"/>
              <w:ind w:left="460" w:hanging="142"/>
              <w:rPr>
                <w:rFonts w:ascii="Tahoma" w:eastAsia="Times New Roman" w:hAnsi="Tahoma" w:cs="Tahoma"/>
                <w:b/>
                <w:lang w:eastAsia="hu-HU"/>
              </w:rPr>
            </w:pPr>
            <w:r w:rsidRPr="00CB3F66">
              <w:rPr>
                <w:rFonts w:ascii="Tahoma" w:eastAsia="Times New Roman" w:hAnsi="Tahoma" w:cs="Tahoma"/>
                <w:b/>
                <w:lang w:eastAsia="hu-HU"/>
              </w:rPr>
              <w:t>Áttérési különbözet</w:t>
            </w:r>
          </w:p>
        </w:tc>
        <w:tc>
          <w:tcPr>
            <w:tcW w:w="29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7478E" w:rsidRPr="00CB3F66" w:rsidRDefault="0027478E" w:rsidP="00950E73">
            <w:pPr>
              <w:pStyle w:val="Listaszerbekezds"/>
              <w:spacing w:after="0" w:line="240" w:lineRule="auto"/>
              <w:ind w:left="754"/>
              <w:jc w:val="right"/>
              <w:rPr>
                <w:rFonts w:ascii="Tahoma" w:eastAsia="Times New Roman" w:hAnsi="Tahoma" w:cs="Tahoma"/>
                <w:i/>
                <w:lang w:eastAsia="hu-HU"/>
              </w:rPr>
            </w:pPr>
            <w:r w:rsidRPr="00CB3F66">
              <w:rPr>
                <w:rFonts w:ascii="Tahoma" w:eastAsia="Times New Roman" w:hAnsi="Tahoma" w:cs="Tahoma"/>
                <w:i/>
                <w:lang w:eastAsia="hu-HU"/>
              </w:rPr>
              <w:t>(forintban)</w:t>
            </w: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0"/>
                <w:numId w:val="2"/>
              </w:numPr>
              <w:spacing w:after="60"/>
              <w:ind w:left="459" w:hanging="283"/>
              <w:rPr>
                <w:rFonts w:ascii="Tahoma" w:hAnsi="Tahoma" w:cs="Tahoma"/>
                <w:b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Pr="00C4317E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4317E">
              <w:rPr>
                <w:rFonts w:ascii="Tahoma" w:hAnsi="Tahoma" w:cs="Tahoma"/>
                <w:sz w:val="18"/>
                <w:szCs w:val="18"/>
              </w:rPr>
              <w:t>. 40/J. § (1) bekezdés a) pont szerinti áttérési különbözet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1"/>
                <w:numId w:val="2"/>
              </w:numPr>
              <w:spacing w:after="60"/>
              <w:ind w:left="885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317E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4317E">
              <w:rPr>
                <w:rFonts w:ascii="Tahoma" w:hAnsi="Tahoma" w:cs="Tahoma"/>
                <w:sz w:val="18"/>
                <w:szCs w:val="18"/>
              </w:rPr>
              <w:t xml:space="preserve">. 40/J. § (1) bekezdés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a)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pont </w:t>
            </w:r>
            <w:proofErr w:type="spellStart"/>
            <w:r w:rsidRPr="00C4317E">
              <w:rPr>
                <w:rFonts w:ascii="Tahoma" w:hAnsi="Tahoma" w:cs="Tahoma"/>
                <w:i/>
                <w:sz w:val="18"/>
                <w:szCs w:val="18"/>
              </w:rPr>
              <w:t>aa</w:t>
            </w:r>
            <w:proofErr w:type="spellEnd"/>
            <w:r w:rsidRPr="00C4317E">
              <w:rPr>
                <w:rFonts w:ascii="Tahoma" w:hAnsi="Tahoma" w:cs="Tahoma"/>
                <w:i/>
                <w:sz w:val="18"/>
                <w:szCs w:val="18"/>
              </w:rPr>
              <w:t xml:space="preserve">) </w:t>
            </w:r>
            <w:r w:rsidRPr="00C4317E">
              <w:rPr>
                <w:rFonts w:ascii="Tahoma" w:hAnsi="Tahoma" w:cs="Tahoma"/>
                <w:sz w:val="18"/>
                <w:szCs w:val="18"/>
              </w:rPr>
              <w:t>alpo</w:t>
            </w:r>
            <w:r>
              <w:rPr>
                <w:rFonts w:ascii="Tahoma" w:hAnsi="Tahoma" w:cs="Tahoma"/>
                <w:sz w:val="18"/>
                <w:szCs w:val="18"/>
              </w:rPr>
              <w:t>nt szerinti áttérési különbözet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1"/>
                <w:numId w:val="2"/>
              </w:numPr>
              <w:spacing w:after="60"/>
              <w:ind w:left="885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317E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4317E">
              <w:rPr>
                <w:rFonts w:ascii="Tahoma" w:hAnsi="Tahoma" w:cs="Tahoma"/>
                <w:sz w:val="18"/>
                <w:szCs w:val="18"/>
              </w:rPr>
              <w:t xml:space="preserve">. 40/J. § (1) bekezdés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a)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pont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ab)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alpont szerinti áttérési különbözet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851826" w:rsidRDefault="0027478E" w:rsidP="0027478E">
            <w:pPr>
              <w:numPr>
                <w:ilvl w:val="0"/>
                <w:numId w:val="2"/>
              </w:numPr>
              <w:spacing w:after="60"/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Pr="00C4317E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4317E">
              <w:rPr>
                <w:rFonts w:ascii="Tahoma" w:hAnsi="Tahoma" w:cs="Tahoma"/>
                <w:sz w:val="18"/>
                <w:szCs w:val="18"/>
              </w:rPr>
              <w:t xml:space="preserve">. 40/J. § (1) bekezdés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b)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pont szerinti különbözet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1"/>
                <w:numId w:val="2"/>
              </w:numPr>
              <w:spacing w:after="60"/>
              <w:ind w:left="885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Pr="00C4317E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4317E">
              <w:rPr>
                <w:rFonts w:ascii="Tahoma" w:hAnsi="Tahoma" w:cs="Tahoma"/>
                <w:sz w:val="18"/>
                <w:szCs w:val="18"/>
              </w:rPr>
              <w:t xml:space="preserve">. 40/J. § (1) bekezdés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b)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pont </w:t>
            </w:r>
            <w:proofErr w:type="spellStart"/>
            <w:r w:rsidRPr="00C4317E">
              <w:rPr>
                <w:rFonts w:ascii="Tahoma" w:hAnsi="Tahoma" w:cs="Tahoma"/>
                <w:i/>
                <w:sz w:val="18"/>
                <w:szCs w:val="18"/>
              </w:rPr>
              <w:t>ba</w:t>
            </w:r>
            <w:proofErr w:type="spellEnd"/>
            <w:r w:rsidRPr="00C4317E">
              <w:rPr>
                <w:rFonts w:ascii="Tahoma" w:hAnsi="Tahoma" w:cs="Tahoma"/>
                <w:i/>
                <w:sz w:val="18"/>
                <w:szCs w:val="18"/>
              </w:rPr>
              <w:t>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alpont szerinti különbözet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C4317E" w:rsidRDefault="0027478E" w:rsidP="0027478E">
            <w:pPr>
              <w:numPr>
                <w:ilvl w:val="1"/>
                <w:numId w:val="2"/>
              </w:numPr>
              <w:spacing w:after="60"/>
              <w:ind w:left="885" w:hanging="425"/>
              <w:rPr>
                <w:rFonts w:ascii="Tahoma" w:hAnsi="Tahoma" w:cs="Tahoma"/>
                <w:sz w:val="18"/>
                <w:szCs w:val="18"/>
              </w:rPr>
            </w:pPr>
            <w:r w:rsidRPr="00C4317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Pr="00C4317E">
              <w:rPr>
                <w:rFonts w:ascii="Tahoma" w:hAnsi="Tahoma" w:cs="Tahoma"/>
                <w:sz w:val="18"/>
                <w:szCs w:val="18"/>
              </w:rPr>
              <w:t>Htv</w:t>
            </w:r>
            <w:proofErr w:type="spellEnd"/>
            <w:r w:rsidRPr="00C4317E">
              <w:rPr>
                <w:rFonts w:ascii="Tahoma" w:hAnsi="Tahoma" w:cs="Tahoma"/>
                <w:sz w:val="18"/>
                <w:szCs w:val="18"/>
              </w:rPr>
              <w:t xml:space="preserve">. 40/J. § (1) bekezdés </w:t>
            </w:r>
            <w:r w:rsidRPr="00C4317E">
              <w:rPr>
                <w:rFonts w:ascii="Tahoma" w:hAnsi="Tahoma" w:cs="Tahoma"/>
                <w:i/>
                <w:sz w:val="18"/>
                <w:szCs w:val="18"/>
              </w:rPr>
              <w:t>b)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pont </w:t>
            </w:r>
            <w:proofErr w:type="spellStart"/>
            <w:r w:rsidRPr="00C4317E">
              <w:rPr>
                <w:rFonts w:ascii="Tahoma" w:hAnsi="Tahoma" w:cs="Tahoma"/>
                <w:i/>
                <w:sz w:val="18"/>
                <w:szCs w:val="18"/>
              </w:rPr>
              <w:t>bb</w:t>
            </w:r>
            <w:proofErr w:type="spellEnd"/>
            <w:r w:rsidRPr="00C4317E">
              <w:rPr>
                <w:rFonts w:ascii="Tahoma" w:hAnsi="Tahoma" w:cs="Tahoma"/>
                <w:i/>
                <w:sz w:val="18"/>
                <w:szCs w:val="18"/>
              </w:rPr>
              <w:t>)</w:t>
            </w:r>
            <w:r w:rsidRPr="00C4317E">
              <w:rPr>
                <w:rFonts w:ascii="Tahoma" w:hAnsi="Tahoma" w:cs="Tahoma"/>
                <w:sz w:val="18"/>
                <w:szCs w:val="18"/>
              </w:rPr>
              <w:t xml:space="preserve"> alpont szerinti különbözet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0F4E69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7478E" w:rsidRPr="002041DA" w:rsidTr="00950E73">
        <w:trPr>
          <w:trHeight w:val="397"/>
        </w:trPr>
        <w:tc>
          <w:tcPr>
            <w:tcW w:w="6947" w:type="dxa"/>
            <w:shd w:val="clear" w:color="auto" w:fill="auto"/>
            <w:vAlign w:val="center"/>
          </w:tcPr>
          <w:p w:rsidR="0027478E" w:rsidRPr="003A5785" w:rsidRDefault="0027478E" w:rsidP="00950E73">
            <w:pPr>
              <w:ind w:left="17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3.  </w:t>
            </w:r>
            <w:r w:rsidRPr="003A5785">
              <w:rPr>
                <w:rFonts w:ascii="Tahoma" w:hAnsi="Tahoma" w:cs="Tahoma"/>
                <w:b/>
                <w:sz w:val="18"/>
                <w:szCs w:val="18"/>
              </w:rPr>
              <w:t xml:space="preserve">Az áttérési különbözet </w:t>
            </w:r>
            <w:proofErr w:type="gramStart"/>
            <w:r w:rsidRPr="003A5785">
              <w:rPr>
                <w:rFonts w:ascii="Tahoma" w:hAnsi="Tahoma" w:cs="Tahoma"/>
                <w:b/>
                <w:sz w:val="18"/>
                <w:szCs w:val="18"/>
              </w:rPr>
              <w:t>összege  (</w:t>
            </w:r>
            <w:proofErr w:type="gramEnd"/>
            <w:r w:rsidRPr="003A5785">
              <w:rPr>
                <w:rFonts w:ascii="Tahoma" w:hAnsi="Tahoma" w:cs="Tahoma"/>
                <w:b/>
                <w:sz w:val="18"/>
                <w:szCs w:val="18"/>
              </w:rPr>
              <w:t xml:space="preserve">+,-)                                             [1-2] 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27478E" w:rsidRPr="003A5785" w:rsidRDefault="0027478E" w:rsidP="00950E7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7478E" w:rsidRPr="009D52BB" w:rsidRDefault="0027478E" w:rsidP="0027478E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</w:rPr>
      </w:pPr>
    </w:p>
    <w:p w:rsidR="0027478E" w:rsidRPr="009D52BB" w:rsidRDefault="0027478E" w:rsidP="0027478E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</w:rPr>
      </w:pPr>
    </w:p>
    <w:p w:rsidR="0027478E" w:rsidRPr="009D52BB" w:rsidRDefault="0027478E" w:rsidP="0027478E">
      <w:pPr>
        <w:shd w:val="clear" w:color="auto" w:fill="FFFFFF"/>
        <w:tabs>
          <w:tab w:val="right" w:leader="dot" w:pos="2552"/>
          <w:tab w:val="right" w:pos="2835"/>
          <w:tab w:val="right" w:leader="dot" w:pos="3686"/>
          <w:tab w:val="right" w:pos="3969"/>
          <w:tab w:val="right" w:leader="dot" w:pos="5954"/>
          <w:tab w:val="right" w:pos="6237"/>
          <w:tab w:val="right" w:leader="dot" w:pos="7088"/>
          <w:tab w:val="right" w:leader="dot" w:pos="9072"/>
        </w:tabs>
        <w:rPr>
          <w:rFonts w:ascii="Tahoma" w:hAnsi="Tahoma" w:cs="Tahoma"/>
          <w:b/>
          <w:bCs/>
        </w:rPr>
      </w:pPr>
      <w:r w:rsidRPr="009D52BB">
        <w:rPr>
          <w:rFonts w:ascii="Tahoma" w:hAnsi="Tahoma" w:cs="Tahoma"/>
          <w:b/>
          <w:bCs/>
        </w:rPr>
        <w:t>Kelt</w:t>
      </w:r>
      <w:proofErr w:type="gramStart"/>
      <w:r w:rsidRPr="009D52BB">
        <w:rPr>
          <w:rFonts w:ascii="Tahoma" w:hAnsi="Tahoma" w:cs="Tahoma"/>
          <w:b/>
          <w:bCs/>
        </w:rPr>
        <w:t>:</w:t>
      </w:r>
      <w:r w:rsidRPr="009D52BB">
        <w:rPr>
          <w:rFonts w:ascii="Tahoma" w:hAnsi="Tahoma" w:cs="Tahoma"/>
          <w:b/>
          <w:bCs/>
        </w:rPr>
        <w:tab/>
        <w:t>,</w:t>
      </w:r>
      <w:proofErr w:type="gramEnd"/>
      <w:r w:rsidRPr="009D52BB">
        <w:rPr>
          <w:rFonts w:ascii="Tahoma" w:hAnsi="Tahoma" w:cs="Tahoma"/>
          <w:b/>
          <w:bCs/>
        </w:rPr>
        <w:tab/>
        <w:t>20</w:t>
      </w:r>
      <w:r w:rsidRPr="009D52BB">
        <w:rPr>
          <w:rFonts w:ascii="Tahoma" w:hAnsi="Tahoma" w:cs="Tahoma"/>
          <w:b/>
          <w:bCs/>
        </w:rPr>
        <w:tab/>
        <w:t>év</w:t>
      </w:r>
      <w:r w:rsidRPr="009D52BB">
        <w:rPr>
          <w:rFonts w:ascii="Tahoma" w:hAnsi="Tahoma" w:cs="Tahoma"/>
          <w:b/>
          <w:bCs/>
        </w:rPr>
        <w:tab/>
      </w:r>
      <w:r w:rsidRPr="009D52BB">
        <w:rPr>
          <w:rFonts w:ascii="Tahoma" w:hAnsi="Tahoma" w:cs="Tahoma"/>
          <w:b/>
          <w:bCs/>
        </w:rPr>
        <w:tab/>
        <w:t>hó</w:t>
      </w:r>
      <w:r w:rsidRPr="009D52BB">
        <w:rPr>
          <w:rFonts w:ascii="Tahoma" w:hAnsi="Tahoma" w:cs="Tahoma"/>
          <w:b/>
          <w:bCs/>
        </w:rPr>
        <w:tab/>
      </w:r>
      <w:r w:rsidRPr="009D52BB">
        <w:rPr>
          <w:rFonts w:ascii="Tahoma" w:hAnsi="Tahoma" w:cs="Tahoma"/>
          <w:b/>
          <w:bCs/>
        </w:rPr>
        <w:tab/>
        <w:t>nap</w:t>
      </w:r>
    </w:p>
    <w:p w:rsidR="00736214" w:rsidRDefault="0027478E" w:rsidP="0027478E">
      <w:pPr>
        <w:keepNext/>
        <w:shd w:val="clear" w:color="auto" w:fill="FFFFFF"/>
        <w:tabs>
          <w:tab w:val="center" w:pos="4111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  <w:r w:rsidRPr="009D52BB">
        <w:rPr>
          <w:rFonts w:ascii="Tahoma" w:hAnsi="Tahoma" w:cs="Tahoma"/>
          <w:b/>
          <w:bCs/>
        </w:rPr>
        <w:tab/>
      </w:r>
    </w:p>
    <w:p w:rsidR="00736214" w:rsidRDefault="00736214" w:rsidP="0027478E">
      <w:pPr>
        <w:keepNext/>
        <w:shd w:val="clear" w:color="auto" w:fill="FFFFFF"/>
        <w:tabs>
          <w:tab w:val="center" w:pos="4111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</w:t>
      </w:r>
    </w:p>
    <w:p w:rsidR="00736214" w:rsidRDefault="00736214" w:rsidP="0027478E">
      <w:pPr>
        <w:keepNext/>
        <w:shd w:val="clear" w:color="auto" w:fill="FFFFFF"/>
        <w:tabs>
          <w:tab w:val="center" w:pos="4111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</w:p>
    <w:p w:rsidR="00736214" w:rsidRDefault="00736214" w:rsidP="0027478E">
      <w:pPr>
        <w:keepNext/>
        <w:shd w:val="clear" w:color="auto" w:fill="FFFFFF"/>
        <w:tabs>
          <w:tab w:val="center" w:pos="4111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</w:p>
    <w:p w:rsidR="0027478E" w:rsidRPr="009D52BB" w:rsidRDefault="0027478E" w:rsidP="00736214">
      <w:pPr>
        <w:keepNext/>
        <w:shd w:val="clear" w:color="auto" w:fill="FFFFFF"/>
        <w:tabs>
          <w:tab w:val="center" w:pos="4111"/>
          <w:tab w:val="center" w:pos="7371"/>
          <w:tab w:val="right" w:leader="dot" w:pos="9072"/>
        </w:tabs>
        <w:jc w:val="center"/>
        <w:outlineLvl w:val="3"/>
        <w:rPr>
          <w:rFonts w:ascii="Tahoma" w:hAnsi="Tahoma" w:cs="Tahoma"/>
          <w:b/>
          <w:bCs/>
        </w:rPr>
      </w:pPr>
      <w:r w:rsidRPr="009D52BB">
        <w:rPr>
          <w:rFonts w:ascii="Tahoma" w:hAnsi="Tahoma" w:cs="Tahoma"/>
          <w:b/>
          <w:bCs/>
        </w:rPr>
        <w:t>P. H.</w:t>
      </w:r>
    </w:p>
    <w:p w:rsidR="0027478E" w:rsidRPr="009D52BB" w:rsidRDefault="0027478E" w:rsidP="0027478E">
      <w:pPr>
        <w:keepNext/>
        <w:shd w:val="clear" w:color="auto" w:fill="FFFFFF"/>
        <w:tabs>
          <w:tab w:val="center" w:pos="4111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</w:p>
    <w:p w:rsidR="0027478E" w:rsidRPr="009D52BB" w:rsidRDefault="0027478E" w:rsidP="0027478E">
      <w:pPr>
        <w:keepNext/>
        <w:shd w:val="clear" w:color="auto" w:fill="FFFFFF"/>
        <w:tabs>
          <w:tab w:val="center" w:pos="2835"/>
          <w:tab w:val="center" w:pos="7371"/>
          <w:tab w:val="right" w:leader="dot" w:pos="9072"/>
        </w:tabs>
        <w:outlineLvl w:val="3"/>
        <w:rPr>
          <w:rFonts w:ascii="Tahoma" w:hAnsi="Tahoma" w:cs="Tahoma"/>
          <w:b/>
          <w:bCs/>
        </w:rPr>
      </w:pPr>
      <w:r w:rsidRPr="009D52BB">
        <w:rPr>
          <w:rFonts w:ascii="Tahoma" w:hAnsi="Tahoma" w:cs="Tahoma"/>
          <w:b/>
          <w:bCs/>
        </w:rPr>
        <w:tab/>
      </w:r>
      <w:r w:rsidRPr="009D52BB">
        <w:rPr>
          <w:rFonts w:ascii="Tahoma" w:hAnsi="Tahoma" w:cs="Tahoma"/>
          <w:b/>
          <w:bCs/>
        </w:rPr>
        <w:tab/>
        <w:t>.…………………………………</w:t>
      </w:r>
    </w:p>
    <w:p w:rsidR="00683043" w:rsidRDefault="0027478E" w:rsidP="002B7488">
      <w:pPr>
        <w:shd w:val="clear" w:color="auto" w:fill="FFFFFF"/>
        <w:tabs>
          <w:tab w:val="center" w:pos="7371"/>
          <w:tab w:val="right" w:leader="dot" w:pos="9072"/>
        </w:tabs>
      </w:pPr>
      <w:r w:rsidRPr="009D52BB">
        <w:rPr>
          <w:rFonts w:ascii="Tahoma" w:hAnsi="Tahoma" w:cs="Tahoma"/>
        </w:rPr>
        <w:tab/>
      </w:r>
      <w:proofErr w:type="gramStart"/>
      <w:r w:rsidRPr="009D52BB">
        <w:rPr>
          <w:rFonts w:ascii="Tahoma" w:hAnsi="Tahoma" w:cs="Tahoma"/>
          <w:b/>
          <w:bCs/>
        </w:rPr>
        <w:t>cégszerű</w:t>
      </w:r>
      <w:proofErr w:type="gramEnd"/>
      <w:r w:rsidRPr="009D52BB">
        <w:rPr>
          <w:rFonts w:ascii="Tahoma" w:hAnsi="Tahoma" w:cs="Tahoma"/>
          <w:b/>
          <w:bCs/>
        </w:rPr>
        <w:t xml:space="preserve"> aláírás      </w:t>
      </w:r>
    </w:p>
    <w:sectPr w:rsidR="00683043" w:rsidSect="007362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8BD"/>
    <w:multiLevelType w:val="multilevel"/>
    <w:tmpl w:val="9418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E81742"/>
    <w:multiLevelType w:val="multilevel"/>
    <w:tmpl w:val="F1FC0D28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3">
    <w:nsid w:val="3ACD79FB"/>
    <w:multiLevelType w:val="hybridMultilevel"/>
    <w:tmpl w:val="CC323176"/>
    <w:lvl w:ilvl="0" w:tplc="040E0013">
      <w:start w:val="1"/>
      <w:numFmt w:val="upperRoman"/>
      <w:lvlText w:val="%1."/>
      <w:lvlJc w:val="righ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0151FF0"/>
    <w:multiLevelType w:val="hybridMultilevel"/>
    <w:tmpl w:val="D0C22C32"/>
    <w:lvl w:ilvl="0" w:tplc="4E0A3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23831"/>
    <w:multiLevelType w:val="hybridMultilevel"/>
    <w:tmpl w:val="A6EC28AA"/>
    <w:lvl w:ilvl="0" w:tplc="750852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6D1A413B"/>
    <w:multiLevelType w:val="hybridMultilevel"/>
    <w:tmpl w:val="208E40A6"/>
    <w:lvl w:ilvl="0" w:tplc="9BA46B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25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73FE1FF2"/>
    <w:multiLevelType w:val="hybridMultilevel"/>
    <w:tmpl w:val="006099DA"/>
    <w:lvl w:ilvl="0" w:tplc="A5E263A0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769B65E6"/>
    <w:multiLevelType w:val="hybridMultilevel"/>
    <w:tmpl w:val="CB2286E2"/>
    <w:lvl w:ilvl="0" w:tplc="49AE2F30">
      <w:start w:val="2"/>
      <w:numFmt w:val="upperRoman"/>
      <w:lvlText w:val="%1."/>
      <w:lvlJc w:val="left"/>
      <w:pPr>
        <w:ind w:left="111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7478E"/>
    <w:rsid w:val="0027478E"/>
    <w:rsid w:val="002B7488"/>
    <w:rsid w:val="00330A82"/>
    <w:rsid w:val="00490CCB"/>
    <w:rsid w:val="00683043"/>
    <w:rsid w:val="006A314E"/>
    <w:rsid w:val="00736214"/>
    <w:rsid w:val="00F3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7478E"/>
  </w:style>
  <w:style w:type="character" w:customStyle="1" w:styleId="SzvegtrzsChar">
    <w:name w:val="Szövegtörzs Char"/>
    <w:basedOn w:val="Bekezdsalapbettpusa"/>
    <w:link w:val="Szvegtrzs"/>
    <w:rsid w:val="0027478E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74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1188</Words>
  <Characters>8205</Characters>
  <Application>Microsoft Office Word</Application>
  <DocSecurity>0</DocSecurity>
  <Lines>68</Lines>
  <Paragraphs>18</Paragraphs>
  <ScaleCrop>false</ScaleCrop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2017-12-13T14:10:00Z</dcterms:created>
  <dcterms:modified xsi:type="dcterms:W3CDTF">2017-12-18T15:06:00Z</dcterms:modified>
</cp:coreProperties>
</file>